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72"/>
          <w:szCs w:val="72"/>
        </w:rPr>
      </w:pPr>
      <w:r w:rsidRPr="009A3749">
        <w:rPr>
          <w:rFonts w:eastAsia="標楷體" w:hint="eastAsia"/>
          <w:b/>
          <w:sz w:val="72"/>
          <w:szCs w:val="72"/>
        </w:rPr>
        <w:t>台南市德光高級中學</w:t>
      </w:r>
    </w:p>
    <w:p w:rsidR="009A3749" w:rsidRP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72"/>
          <w:szCs w:val="72"/>
        </w:rPr>
      </w:pPr>
      <w:r w:rsidRPr="009A3749">
        <w:rPr>
          <w:rFonts w:eastAsia="標楷體" w:hint="eastAsia"/>
          <w:b/>
          <w:sz w:val="72"/>
          <w:szCs w:val="72"/>
        </w:rPr>
        <w:t>變更管理辦法</w:t>
      </w: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P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72"/>
          <w:szCs w:val="72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9A3749" w:rsidRDefault="009A3749" w:rsidP="009A3749">
      <w:pPr>
        <w:snapToGrid w:val="0"/>
        <w:spacing w:line="276" w:lineRule="auto"/>
        <w:jc w:val="center"/>
        <w:rPr>
          <w:rFonts w:eastAsia="標楷體"/>
          <w:b/>
          <w:sz w:val="48"/>
          <w:szCs w:val="48"/>
        </w:rPr>
      </w:pPr>
    </w:p>
    <w:p w:rsidR="00516192" w:rsidRPr="00C20E1C" w:rsidRDefault="009A3749" w:rsidP="009A3749">
      <w:pPr>
        <w:snapToGrid w:val="0"/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C20E1C">
        <w:rPr>
          <w:rFonts w:ascii="標楷體" w:eastAsia="標楷體" w:hAnsi="標楷體" w:hint="eastAsia"/>
          <w:b/>
          <w:sz w:val="36"/>
          <w:szCs w:val="36"/>
        </w:rPr>
        <w:lastRenderedPageBreak/>
        <w:t>台南市德光</w:t>
      </w:r>
      <w:r w:rsidR="00516192" w:rsidRPr="00C20E1C">
        <w:rPr>
          <w:rFonts w:ascii="標楷體" w:eastAsia="標楷體" w:hAnsi="標楷體"/>
          <w:b/>
          <w:sz w:val="36"/>
          <w:szCs w:val="36"/>
        </w:rPr>
        <w:t>高級中學變更管理</w:t>
      </w:r>
      <w:r w:rsidR="00516192" w:rsidRPr="00C20E1C">
        <w:rPr>
          <w:rFonts w:ascii="標楷體" w:eastAsia="標楷體" w:hAnsi="標楷體" w:hint="eastAsia"/>
          <w:b/>
          <w:sz w:val="36"/>
          <w:szCs w:val="36"/>
        </w:rPr>
        <w:t>辦法</w:t>
      </w:r>
    </w:p>
    <w:p w:rsidR="00516192" w:rsidRPr="00436896" w:rsidRDefault="00C20E1C" w:rsidP="00516192">
      <w:pPr>
        <w:snapToGrid w:val="0"/>
        <w:spacing w:line="240" w:lineRule="exact"/>
        <w:jc w:val="right"/>
        <w:rPr>
          <w:rFonts w:eastAsia="標楷體"/>
          <w:b/>
          <w:sz w:val="48"/>
          <w:szCs w:val="48"/>
        </w:rPr>
      </w:pPr>
      <w:r w:rsidRPr="00436896">
        <w:rPr>
          <w:rFonts w:ascii="標楷體" w:eastAsia="標楷體" w:hAnsi="標楷體" w:hint="eastAsia"/>
          <w:b/>
          <w:sz w:val="20"/>
          <w:szCs w:val="20"/>
        </w:rPr>
        <w:t>109.8月行政會報通過實行</w:t>
      </w:r>
    </w:p>
    <w:p w:rsidR="00516192" w:rsidRPr="00C82B3C" w:rsidRDefault="00516192" w:rsidP="00516192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rFonts w:eastAsia="標楷體"/>
          <w:b/>
        </w:rPr>
      </w:pPr>
      <w:r w:rsidRPr="00C82B3C">
        <w:rPr>
          <w:rFonts w:eastAsia="標楷體"/>
          <w:b/>
        </w:rPr>
        <w:t>目的：</w:t>
      </w:r>
      <w:bookmarkStart w:id="0" w:name="_GoBack"/>
      <w:bookmarkEnd w:id="0"/>
    </w:p>
    <w:p w:rsidR="00516192" w:rsidRPr="009A3749" w:rsidRDefault="009A3749" w:rsidP="009A3749">
      <w:pPr>
        <w:spacing w:line="360" w:lineRule="auto"/>
        <w:ind w:leftChars="177" w:left="425"/>
        <w:rPr>
          <w:rFonts w:eastAsia="標楷體"/>
        </w:rPr>
      </w:pPr>
      <w:r>
        <w:rPr>
          <w:rFonts w:eastAsia="標楷體" w:hint="eastAsia"/>
          <w:b/>
        </w:rPr>
        <w:t xml:space="preserve">     </w:t>
      </w:r>
      <w:r w:rsidR="00516192" w:rsidRPr="009A3749">
        <w:rPr>
          <w:rFonts w:eastAsia="標楷體"/>
        </w:rPr>
        <w:t>為降低設施、設備、製程、物料、技術</w:t>
      </w:r>
      <w:r w:rsidR="00516192" w:rsidRPr="009A3749">
        <w:rPr>
          <w:rFonts w:eastAsia="標楷體"/>
        </w:rPr>
        <w:t>..</w:t>
      </w:r>
      <w:r w:rsidR="00516192" w:rsidRPr="009A3749">
        <w:rPr>
          <w:rFonts w:eastAsia="標楷體"/>
        </w:rPr>
        <w:t>等之變更所起之潛在危害風險，進而</w:t>
      </w:r>
      <w:r w:rsidR="00516192" w:rsidRPr="009A3749">
        <w:rPr>
          <w:rFonts w:eastAsia="標楷體" w:hint="eastAsia"/>
        </w:rPr>
        <w:t>保護校內工作者</w:t>
      </w:r>
      <w:r w:rsidR="00516192" w:rsidRPr="009A3749">
        <w:rPr>
          <w:rFonts w:eastAsia="標楷體" w:hint="eastAsia"/>
        </w:rPr>
        <w:t>(</w:t>
      </w:r>
      <w:r w:rsidR="00516192" w:rsidRPr="009A3749">
        <w:rPr>
          <w:rFonts w:eastAsia="標楷體" w:hint="eastAsia"/>
        </w:rPr>
        <w:t>如：教職、員工與學生等</w:t>
      </w:r>
      <w:r w:rsidR="00516192" w:rsidRPr="009A3749">
        <w:rPr>
          <w:rFonts w:eastAsia="標楷體" w:hint="eastAsia"/>
        </w:rPr>
        <w:t>)</w:t>
      </w:r>
      <w:r w:rsidR="00516192" w:rsidRPr="009A3749">
        <w:rPr>
          <w:rFonts w:eastAsia="標楷體"/>
        </w:rPr>
        <w:t>安全、健康及設備損失，特訂定本</w:t>
      </w:r>
      <w:r w:rsidR="00516192" w:rsidRPr="009A3749">
        <w:rPr>
          <w:rFonts w:eastAsia="標楷體" w:hint="eastAsia"/>
        </w:rPr>
        <w:t>要點</w:t>
      </w:r>
      <w:r w:rsidR="00516192" w:rsidRPr="009A3749">
        <w:rPr>
          <w:rFonts w:eastAsia="標楷體"/>
        </w:rPr>
        <w:t>由各單位依循辦理。</w:t>
      </w:r>
    </w:p>
    <w:p w:rsidR="00516192" w:rsidRPr="00C82B3C" w:rsidRDefault="00516192" w:rsidP="00516192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rFonts w:eastAsia="標楷體"/>
          <w:b/>
        </w:rPr>
      </w:pPr>
      <w:r w:rsidRPr="00C82B3C">
        <w:rPr>
          <w:rFonts w:eastAsia="標楷體"/>
          <w:b/>
        </w:rPr>
        <w:t>適用範圍：</w:t>
      </w:r>
    </w:p>
    <w:p w:rsidR="00516192" w:rsidRPr="009A3749" w:rsidRDefault="00516192" w:rsidP="009A3749">
      <w:pPr>
        <w:pStyle w:val="2"/>
        <w:spacing w:line="360" w:lineRule="auto"/>
        <w:ind w:left="1601" w:hanging="480"/>
        <w:rPr>
          <w:sz w:val="24"/>
        </w:rPr>
      </w:pPr>
      <w:r w:rsidRPr="009A3749">
        <w:rPr>
          <w:sz w:val="24"/>
        </w:rPr>
        <w:t>設備、原物料、</w:t>
      </w:r>
      <w:r w:rsidRPr="009A3749">
        <w:rPr>
          <w:rFonts w:hint="eastAsia"/>
          <w:sz w:val="24"/>
        </w:rPr>
        <w:t>實驗流程</w:t>
      </w:r>
      <w:r w:rsidRPr="009A3749">
        <w:rPr>
          <w:sz w:val="24"/>
        </w:rPr>
        <w:t>、技術及安全設施之變更。</w:t>
      </w:r>
    </w:p>
    <w:p w:rsidR="00516192" w:rsidRPr="00C82B3C" w:rsidRDefault="00516192" w:rsidP="00516192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rFonts w:eastAsia="標楷體"/>
          <w:b/>
        </w:rPr>
      </w:pPr>
      <w:r w:rsidRPr="00C82B3C">
        <w:rPr>
          <w:rFonts w:eastAsia="標楷體"/>
          <w:b/>
        </w:rPr>
        <w:t>名詞定義：</w:t>
      </w:r>
    </w:p>
    <w:p w:rsidR="00516192" w:rsidRPr="00C82B3C" w:rsidRDefault="00516192" w:rsidP="00516192">
      <w:pPr>
        <w:spacing w:line="360" w:lineRule="auto"/>
        <w:ind w:leftChars="177" w:left="2551" w:hangingChars="885" w:hanging="2126"/>
        <w:rPr>
          <w:rFonts w:eastAsia="標楷體"/>
        </w:rPr>
      </w:pPr>
      <w:r w:rsidRPr="00C82B3C">
        <w:rPr>
          <w:rFonts w:eastAsia="標楷體"/>
          <w:b/>
        </w:rPr>
        <w:t xml:space="preserve">3.1 </w:t>
      </w:r>
      <w:r w:rsidRPr="00C82B3C">
        <w:rPr>
          <w:rFonts w:eastAsia="標楷體"/>
          <w:b/>
        </w:rPr>
        <w:t>校外部份變更：</w:t>
      </w:r>
      <w:r w:rsidRPr="00C82B3C">
        <w:rPr>
          <w:rFonts w:eastAsia="標楷體"/>
        </w:rPr>
        <w:t>係指國家法令規章的修訂、及職業安全衛生知識和技術的更新等。</w:t>
      </w:r>
    </w:p>
    <w:p w:rsidR="00516192" w:rsidRPr="00C82B3C" w:rsidRDefault="00516192" w:rsidP="00516192">
      <w:pPr>
        <w:spacing w:line="360" w:lineRule="auto"/>
        <w:ind w:leftChars="177" w:left="2551" w:hangingChars="885" w:hanging="2126"/>
        <w:rPr>
          <w:rFonts w:eastAsia="標楷體"/>
          <w:b/>
        </w:rPr>
      </w:pPr>
      <w:r w:rsidRPr="00C82B3C">
        <w:rPr>
          <w:rFonts w:eastAsia="標楷體"/>
          <w:b/>
        </w:rPr>
        <w:t xml:space="preserve">3.2 </w:t>
      </w:r>
      <w:r w:rsidRPr="00C82B3C">
        <w:rPr>
          <w:rFonts w:eastAsia="標楷體"/>
          <w:b/>
        </w:rPr>
        <w:t>校內部份變更：</w:t>
      </w:r>
      <w:r w:rsidRPr="00C82B3C">
        <w:rPr>
          <w:rFonts w:eastAsia="標楷體"/>
        </w:rPr>
        <w:t>系指建築物</w:t>
      </w:r>
      <w:proofErr w:type="gramStart"/>
      <w:r w:rsidRPr="00C82B3C">
        <w:rPr>
          <w:rFonts w:eastAsia="標楷體"/>
        </w:rPr>
        <w:t>（</w:t>
      </w:r>
      <w:proofErr w:type="gramEnd"/>
      <w:r w:rsidRPr="00C82B3C">
        <w:rPr>
          <w:rFonts w:eastAsia="標楷體"/>
        </w:rPr>
        <w:t>如：實驗室之搬遷、實驗室目的變更</w:t>
      </w:r>
      <w:proofErr w:type="gramStart"/>
      <w:r w:rsidRPr="00C82B3C">
        <w:rPr>
          <w:rFonts w:eastAsia="標楷體"/>
        </w:rPr>
        <w:t>）</w:t>
      </w:r>
      <w:proofErr w:type="gramEnd"/>
      <w:r w:rsidRPr="00C82B3C">
        <w:rPr>
          <w:rFonts w:eastAsia="標楷體"/>
        </w:rPr>
        <w:t>、設備</w:t>
      </w:r>
      <w:proofErr w:type="gramStart"/>
      <w:r w:rsidRPr="00C82B3C">
        <w:rPr>
          <w:rFonts w:eastAsia="標楷體"/>
        </w:rPr>
        <w:t>（</w:t>
      </w:r>
      <w:proofErr w:type="gramEnd"/>
      <w:r w:rsidRPr="00C82B3C">
        <w:rPr>
          <w:rFonts w:eastAsia="標楷體"/>
        </w:rPr>
        <w:t>如：局部排氣裝置、危害性機械、及危險性設備等之變更</w:t>
      </w:r>
      <w:proofErr w:type="gramStart"/>
      <w:r w:rsidRPr="00C82B3C">
        <w:rPr>
          <w:rFonts w:eastAsia="標楷體"/>
        </w:rPr>
        <w:t>）</w:t>
      </w:r>
      <w:proofErr w:type="gramEnd"/>
      <w:r w:rsidRPr="00C82B3C">
        <w:rPr>
          <w:rFonts w:eastAsia="標楷體"/>
        </w:rPr>
        <w:t>、化學品</w:t>
      </w:r>
      <w:proofErr w:type="gramStart"/>
      <w:r w:rsidRPr="00C82B3C">
        <w:rPr>
          <w:rFonts w:eastAsia="標楷體"/>
        </w:rPr>
        <w:t>（</w:t>
      </w:r>
      <w:proofErr w:type="gramEnd"/>
      <w:r w:rsidRPr="00C82B3C">
        <w:rPr>
          <w:rFonts w:eastAsia="標楷體"/>
        </w:rPr>
        <w:t>如：危險物、有害物及毒性化學物質之新增使用或變更使用</w:t>
      </w:r>
      <w:proofErr w:type="gramStart"/>
      <w:r w:rsidRPr="00C82B3C">
        <w:rPr>
          <w:rFonts w:eastAsia="標楷體"/>
        </w:rPr>
        <w:t>）</w:t>
      </w:r>
      <w:proofErr w:type="gramEnd"/>
      <w:r w:rsidRPr="00C82B3C">
        <w:rPr>
          <w:rFonts w:eastAsia="標楷體"/>
        </w:rPr>
        <w:t>、及標準作業程序</w:t>
      </w:r>
      <w:proofErr w:type="gramStart"/>
      <w:r w:rsidRPr="00C82B3C">
        <w:rPr>
          <w:rFonts w:eastAsia="標楷體"/>
        </w:rPr>
        <w:t>（</w:t>
      </w:r>
      <w:proofErr w:type="gramEnd"/>
      <w:r w:rsidRPr="00C82B3C">
        <w:rPr>
          <w:rFonts w:eastAsia="標楷體"/>
        </w:rPr>
        <w:t>如：新增或變更分析方法或實驗內容等</w:t>
      </w:r>
      <w:proofErr w:type="gramStart"/>
      <w:r w:rsidRPr="00C82B3C">
        <w:rPr>
          <w:rFonts w:eastAsia="標楷體"/>
        </w:rPr>
        <w:t>）</w:t>
      </w:r>
      <w:proofErr w:type="gramEnd"/>
      <w:r w:rsidRPr="00C82B3C">
        <w:rPr>
          <w:rFonts w:eastAsia="標楷體"/>
        </w:rPr>
        <w:t>等之新增與變更。</w:t>
      </w:r>
    </w:p>
    <w:p w:rsidR="00516192" w:rsidRPr="00C82B3C" w:rsidRDefault="00516192" w:rsidP="00516192">
      <w:pPr>
        <w:spacing w:line="360" w:lineRule="auto"/>
        <w:ind w:leftChars="177" w:left="2551" w:hangingChars="885" w:hanging="2126"/>
        <w:rPr>
          <w:rFonts w:eastAsia="標楷體"/>
        </w:rPr>
      </w:pPr>
      <w:r w:rsidRPr="00C82B3C">
        <w:rPr>
          <w:rFonts w:eastAsia="標楷體"/>
          <w:b/>
        </w:rPr>
        <w:t>3.3</w:t>
      </w:r>
      <w:r w:rsidRPr="00C82B3C">
        <w:rPr>
          <w:rFonts w:eastAsia="標楷體"/>
          <w:b/>
        </w:rPr>
        <w:t>永久性變更：</w:t>
      </w:r>
      <w:r w:rsidRPr="00C82B3C">
        <w:rPr>
          <w:rFonts w:eastAsia="標楷體"/>
        </w:rPr>
        <w:t>係指經研討或測試後決定之永久性修改。</w:t>
      </w:r>
    </w:p>
    <w:p w:rsidR="00516192" w:rsidRPr="00C82B3C" w:rsidRDefault="00516192" w:rsidP="00516192">
      <w:pPr>
        <w:spacing w:line="360" w:lineRule="auto"/>
        <w:ind w:leftChars="176" w:left="2125" w:hangingChars="709" w:hanging="1703"/>
        <w:rPr>
          <w:rFonts w:eastAsia="標楷體"/>
        </w:rPr>
      </w:pPr>
      <w:r w:rsidRPr="00C82B3C">
        <w:rPr>
          <w:rFonts w:eastAsia="標楷體"/>
          <w:b/>
        </w:rPr>
        <w:t>3.4</w:t>
      </w:r>
      <w:r w:rsidRPr="00C82B3C">
        <w:rPr>
          <w:rFonts w:eastAsia="標楷體"/>
          <w:b/>
        </w:rPr>
        <w:t>暫時性變更：</w:t>
      </w:r>
      <w:r w:rsidRPr="00C82B3C">
        <w:rPr>
          <w:rFonts w:eastAsia="標楷體"/>
        </w:rPr>
        <w:t>係指針對某特殊狀況之研究需要進行之臨時性變更，此等變更必須清楚</w:t>
      </w:r>
      <w:r w:rsidR="009A3749">
        <w:rPr>
          <w:rFonts w:eastAsia="標楷體" w:hint="eastAsia"/>
        </w:rPr>
        <w:t xml:space="preserve">                      </w:t>
      </w:r>
      <w:r w:rsidRPr="00C82B3C">
        <w:rPr>
          <w:rFonts w:eastAsia="標楷體"/>
        </w:rPr>
        <w:t>界定變更之</w:t>
      </w:r>
      <w:proofErr w:type="gramStart"/>
      <w:r w:rsidRPr="00C82B3C">
        <w:rPr>
          <w:rFonts w:eastAsia="標楷體"/>
        </w:rPr>
        <w:t>期間，</w:t>
      </w:r>
      <w:proofErr w:type="gramEnd"/>
      <w:r w:rsidRPr="00C82B3C">
        <w:rPr>
          <w:rFonts w:eastAsia="標楷體"/>
        </w:rPr>
        <w:t>且於期滿時，恢復變更前之狀況。</w:t>
      </w:r>
    </w:p>
    <w:p w:rsidR="00516192" w:rsidRPr="00C82B3C" w:rsidRDefault="00516192" w:rsidP="00516192">
      <w:pPr>
        <w:spacing w:line="360" w:lineRule="auto"/>
        <w:ind w:leftChars="177" w:left="1987" w:hangingChars="650" w:hanging="1562"/>
        <w:rPr>
          <w:rFonts w:eastAsia="標楷體"/>
        </w:rPr>
      </w:pPr>
      <w:r w:rsidRPr="00C82B3C">
        <w:rPr>
          <w:rFonts w:eastAsia="標楷體"/>
          <w:b/>
        </w:rPr>
        <w:t>3.5</w:t>
      </w:r>
      <w:r w:rsidRPr="00C82B3C">
        <w:rPr>
          <w:rFonts w:eastAsia="標楷體"/>
          <w:b/>
        </w:rPr>
        <w:t>化學物質：</w:t>
      </w:r>
      <w:r w:rsidRPr="00C82B3C">
        <w:rPr>
          <w:rFonts w:eastAsia="標楷體"/>
        </w:rPr>
        <w:t>實驗過程中所使用、處置、製造之化學物質，包括原料、產品、中間產物、藥品、潤滑用油等。</w:t>
      </w:r>
    </w:p>
    <w:p w:rsidR="00516192" w:rsidRPr="00C82B3C" w:rsidRDefault="00516192" w:rsidP="00516192">
      <w:pPr>
        <w:spacing w:line="360" w:lineRule="auto"/>
        <w:ind w:leftChars="177" w:left="1987" w:hangingChars="650" w:hanging="1562"/>
        <w:rPr>
          <w:rFonts w:eastAsia="標楷體"/>
        </w:rPr>
      </w:pPr>
      <w:r w:rsidRPr="00C82B3C">
        <w:rPr>
          <w:rFonts w:eastAsia="標楷體"/>
          <w:b/>
        </w:rPr>
        <w:t>3.6</w:t>
      </w:r>
      <w:r w:rsidRPr="00C82B3C">
        <w:rPr>
          <w:rFonts w:eastAsia="標楷體"/>
          <w:b/>
        </w:rPr>
        <w:t>實驗技術：</w:t>
      </w:r>
      <w:r w:rsidRPr="00C82B3C">
        <w:rPr>
          <w:rFonts w:eastAsia="標楷體"/>
        </w:rPr>
        <w:t>對原物料、試驗、設備可用性、新增設備、新產品及操作條件有影響之製程領域。</w:t>
      </w:r>
    </w:p>
    <w:p w:rsidR="00516192" w:rsidRPr="00C82B3C" w:rsidRDefault="00516192" w:rsidP="00516192">
      <w:pPr>
        <w:spacing w:line="360" w:lineRule="auto"/>
        <w:ind w:leftChars="177" w:left="1987" w:hangingChars="650" w:hanging="1562"/>
        <w:rPr>
          <w:rFonts w:eastAsia="標楷體"/>
        </w:rPr>
      </w:pPr>
      <w:r w:rsidRPr="00C82B3C">
        <w:rPr>
          <w:rFonts w:eastAsia="標楷體"/>
          <w:b/>
        </w:rPr>
        <w:t>3.7</w:t>
      </w:r>
      <w:r w:rsidRPr="00C82B3C">
        <w:rPr>
          <w:rFonts w:eastAsia="標楷體"/>
          <w:b/>
        </w:rPr>
        <w:t>儀器設備：</w:t>
      </w:r>
      <w:r w:rsidRPr="00C82B3C">
        <w:rPr>
          <w:rFonts w:eastAsia="標楷體"/>
        </w:rPr>
        <w:t>係指實驗過程中所需之裝置之本體及其配件。</w:t>
      </w:r>
    </w:p>
    <w:p w:rsidR="00516192" w:rsidRPr="00C82B3C" w:rsidRDefault="00516192" w:rsidP="00516192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rFonts w:eastAsia="標楷體"/>
          <w:b/>
        </w:rPr>
      </w:pPr>
      <w:r w:rsidRPr="00C82B3C">
        <w:rPr>
          <w:rFonts w:eastAsia="標楷體" w:hint="eastAsia"/>
          <w:b/>
        </w:rPr>
        <w:t>變更管理程序</w:t>
      </w:r>
    </w:p>
    <w:p w:rsidR="00516192" w:rsidRPr="009A3749" w:rsidRDefault="00516192" w:rsidP="009A3749">
      <w:pPr>
        <w:pStyle w:val="2"/>
        <w:spacing w:line="360" w:lineRule="auto"/>
        <w:ind w:left="1601" w:hanging="480"/>
        <w:rPr>
          <w:sz w:val="24"/>
        </w:rPr>
      </w:pPr>
      <w:r w:rsidRPr="009A3749">
        <w:rPr>
          <w:sz w:val="24"/>
        </w:rPr>
        <w:t>變更</w:t>
      </w:r>
      <w:r w:rsidRPr="009A3749">
        <w:rPr>
          <w:rFonts w:hint="eastAsia"/>
          <w:sz w:val="24"/>
        </w:rPr>
        <w:t>之程序</w:t>
      </w:r>
      <w:r w:rsidRPr="009A3749">
        <w:rPr>
          <w:sz w:val="24"/>
        </w:rPr>
        <w:t>（圖</w:t>
      </w:r>
      <w:r w:rsidRPr="009A3749">
        <w:rPr>
          <w:rFonts w:hint="eastAsia"/>
          <w:sz w:val="24"/>
        </w:rPr>
        <w:t>一</w:t>
      </w:r>
      <w:r w:rsidRPr="009A3749">
        <w:rPr>
          <w:sz w:val="24"/>
        </w:rPr>
        <w:t>），主要內容概述如下：</w:t>
      </w:r>
    </w:p>
    <w:p w:rsidR="00516192" w:rsidRPr="009A3749" w:rsidRDefault="00516192" w:rsidP="009A3749">
      <w:pPr>
        <w:pStyle w:val="2"/>
        <w:spacing w:line="360" w:lineRule="auto"/>
        <w:ind w:leftChars="235" w:left="1559" w:hangingChars="414" w:hanging="995"/>
        <w:rPr>
          <w:sz w:val="24"/>
        </w:rPr>
      </w:pPr>
      <w:r w:rsidRPr="009A3749">
        <w:rPr>
          <w:b/>
          <w:sz w:val="24"/>
        </w:rPr>
        <w:t>第一步：</w:t>
      </w:r>
      <w:r w:rsidRPr="009A3749">
        <w:rPr>
          <w:sz w:val="24"/>
        </w:rPr>
        <w:t>界定變更管理之範圍，應明確定義出變更管制之範圍，如：建築物、設備、化學品、標準作業程序等之新增與變更</w:t>
      </w:r>
      <w:r w:rsidRPr="009A3749">
        <w:rPr>
          <w:rFonts w:hint="eastAsia"/>
          <w:sz w:val="24"/>
        </w:rPr>
        <w:t>。</w:t>
      </w:r>
    </w:p>
    <w:p w:rsidR="00516192" w:rsidRPr="009A3749" w:rsidRDefault="00516192" w:rsidP="009A3749">
      <w:pPr>
        <w:pStyle w:val="2"/>
        <w:spacing w:line="360" w:lineRule="auto"/>
        <w:ind w:leftChars="235" w:left="1559" w:hangingChars="414" w:hanging="995"/>
        <w:rPr>
          <w:sz w:val="24"/>
        </w:rPr>
      </w:pPr>
      <w:r w:rsidRPr="009A3749">
        <w:rPr>
          <w:b/>
          <w:sz w:val="24"/>
        </w:rPr>
        <w:t>第二步：</w:t>
      </w:r>
      <w:r w:rsidRPr="009A3749">
        <w:rPr>
          <w:sz w:val="24"/>
        </w:rPr>
        <w:t>於管理系統中制訂變更管制度或程序，並依此執行變更管理</w:t>
      </w:r>
      <w:r w:rsidRPr="009A3749">
        <w:rPr>
          <w:rFonts w:hint="eastAsia"/>
          <w:sz w:val="24"/>
        </w:rPr>
        <w:t>。</w:t>
      </w:r>
    </w:p>
    <w:p w:rsidR="00516192" w:rsidRPr="009A3749" w:rsidRDefault="00516192" w:rsidP="009A3749">
      <w:pPr>
        <w:pStyle w:val="2"/>
        <w:spacing w:line="360" w:lineRule="auto"/>
        <w:ind w:leftChars="235" w:left="1559" w:hangingChars="414" w:hanging="995"/>
        <w:rPr>
          <w:sz w:val="24"/>
        </w:rPr>
      </w:pPr>
      <w:r w:rsidRPr="009A3749">
        <w:rPr>
          <w:b/>
          <w:sz w:val="24"/>
        </w:rPr>
        <w:t>第三步：</w:t>
      </w:r>
      <w:r w:rsidRPr="009A3749">
        <w:rPr>
          <w:sz w:val="24"/>
        </w:rPr>
        <w:t>當變更符合管制範圍時，應由變更單位申請變更</w:t>
      </w:r>
      <w:r w:rsidRPr="009A3749">
        <w:rPr>
          <w:rFonts w:hint="eastAsia"/>
          <w:sz w:val="24"/>
        </w:rPr>
        <w:t>。</w:t>
      </w:r>
    </w:p>
    <w:p w:rsidR="00516192" w:rsidRPr="009A3749" w:rsidRDefault="00516192" w:rsidP="009A3749">
      <w:pPr>
        <w:pStyle w:val="2"/>
        <w:spacing w:line="360" w:lineRule="auto"/>
        <w:ind w:leftChars="235" w:left="1559" w:hangingChars="414" w:hanging="995"/>
        <w:rPr>
          <w:sz w:val="24"/>
        </w:rPr>
      </w:pPr>
      <w:r w:rsidRPr="009A3749">
        <w:rPr>
          <w:b/>
          <w:sz w:val="24"/>
        </w:rPr>
        <w:t>第四步：</w:t>
      </w:r>
      <w:r w:rsidRPr="009A3749">
        <w:rPr>
          <w:sz w:val="24"/>
        </w:rPr>
        <w:t>進行危害鑑別與風險評估，在導入變更項目前，應事先評估此變更是否引起新</w:t>
      </w:r>
      <w:r w:rsidRPr="009A3749">
        <w:rPr>
          <w:sz w:val="24"/>
        </w:rPr>
        <w:lastRenderedPageBreak/>
        <w:t>的危害或風險、或是否會加劇危害或風險的程序，接著評估此風險是否在可接受範圍，若無法接受則不可執行此變更，待風險評估完成後需將變更後之風險結果更新，並將風險告知與此變更項目有關之</w:t>
      </w:r>
      <w:r w:rsidRPr="009A3749">
        <w:rPr>
          <w:rFonts w:hint="eastAsia"/>
          <w:sz w:val="24"/>
        </w:rPr>
        <w:t>校內工作者。</w:t>
      </w:r>
    </w:p>
    <w:p w:rsidR="00516192" w:rsidRDefault="00516192" w:rsidP="009A3749">
      <w:pPr>
        <w:pStyle w:val="2"/>
        <w:spacing w:line="360" w:lineRule="auto"/>
        <w:ind w:leftChars="235" w:left="1559" w:hangingChars="414" w:hanging="995"/>
      </w:pPr>
      <w:r w:rsidRPr="009A3749">
        <w:rPr>
          <w:b/>
          <w:sz w:val="24"/>
        </w:rPr>
        <w:t>第五步：</w:t>
      </w:r>
      <w:r w:rsidRPr="009A3749">
        <w:rPr>
          <w:sz w:val="24"/>
        </w:rPr>
        <w:t>將有關變更項目之相關資料結果予以文件化；完成前述步驟後方能執行變更項目。</w:t>
      </w:r>
    </w:p>
    <w:p w:rsidR="00516192" w:rsidRDefault="00516192" w:rsidP="00516192">
      <w:pPr>
        <w:pStyle w:val="2"/>
        <w:spacing w:line="360" w:lineRule="auto"/>
        <w:ind w:leftChars="235" w:left="1723" w:hangingChars="414" w:hanging="1159"/>
      </w:pPr>
    </w:p>
    <w:p w:rsidR="00516192" w:rsidRPr="00C82B3C" w:rsidRDefault="00516192" w:rsidP="00516192">
      <w:pPr>
        <w:widowControl/>
        <w:spacing w:line="276" w:lineRule="auto"/>
        <w:rPr>
          <w:rFonts w:eastAsia="標楷體"/>
        </w:rPr>
      </w:pPr>
    </w:p>
    <w:p w:rsidR="00516192" w:rsidRDefault="00516192" w:rsidP="00516192">
      <w:pPr>
        <w:spacing w:line="276" w:lineRule="auto"/>
        <w:jc w:val="center"/>
        <w:rPr>
          <w:rFonts w:eastAsia="標楷體"/>
          <w:b/>
        </w:rPr>
      </w:pPr>
      <w:r>
        <w:rPr>
          <w:rFonts w:eastAsia="標楷體"/>
          <w:b/>
          <w:noProof/>
        </w:rPr>
        <w:drawing>
          <wp:inline distT="0" distB="0" distL="0" distR="0" wp14:anchorId="6866BB59" wp14:editId="482E326D">
            <wp:extent cx="3328416" cy="5596128"/>
            <wp:effectExtent l="0" t="0" r="0" b="0"/>
            <wp:docPr id="92" name="圖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8416" cy="559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749" w:rsidRDefault="009A3749" w:rsidP="00516192">
      <w:pPr>
        <w:spacing w:line="276" w:lineRule="auto"/>
        <w:jc w:val="center"/>
        <w:rPr>
          <w:rFonts w:eastAsia="標楷體"/>
          <w:b/>
        </w:rPr>
      </w:pPr>
    </w:p>
    <w:p w:rsidR="009A3749" w:rsidRDefault="009A3749" w:rsidP="00516192">
      <w:pPr>
        <w:spacing w:line="276" w:lineRule="auto"/>
        <w:jc w:val="center"/>
        <w:rPr>
          <w:rFonts w:eastAsia="標楷體"/>
          <w:b/>
        </w:rPr>
      </w:pPr>
    </w:p>
    <w:p w:rsidR="009A3749" w:rsidRDefault="009A3749" w:rsidP="00516192">
      <w:pPr>
        <w:spacing w:line="276" w:lineRule="auto"/>
        <w:jc w:val="center"/>
        <w:rPr>
          <w:rFonts w:eastAsia="標楷體"/>
          <w:b/>
        </w:rPr>
      </w:pPr>
    </w:p>
    <w:p w:rsidR="009A3749" w:rsidRDefault="009A3749" w:rsidP="00516192">
      <w:pPr>
        <w:spacing w:line="276" w:lineRule="auto"/>
        <w:jc w:val="center"/>
        <w:rPr>
          <w:rFonts w:eastAsia="標楷體"/>
          <w:b/>
        </w:rPr>
      </w:pPr>
    </w:p>
    <w:p w:rsidR="009A3749" w:rsidRPr="005C0FB5" w:rsidRDefault="009A3749" w:rsidP="00516192">
      <w:pPr>
        <w:spacing w:line="276" w:lineRule="auto"/>
        <w:jc w:val="center"/>
        <w:rPr>
          <w:rFonts w:eastAsia="標楷體"/>
          <w:b/>
        </w:rPr>
      </w:pPr>
    </w:p>
    <w:p w:rsidR="00516192" w:rsidRPr="00C82B3C" w:rsidRDefault="00516192" w:rsidP="00516192">
      <w:pPr>
        <w:pStyle w:val="a3"/>
        <w:numPr>
          <w:ilvl w:val="0"/>
          <w:numId w:val="1"/>
        </w:numPr>
        <w:spacing w:line="360" w:lineRule="auto"/>
        <w:ind w:leftChars="0" w:left="567" w:hanging="567"/>
        <w:rPr>
          <w:rFonts w:eastAsia="標楷體"/>
          <w:b/>
        </w:rPr>
      </w:pPr>
      <w:r w:rsidRPr="00C82B3C">
        <w:rPr>
          <w:rFonts w:eastAsia="標楷體"/>
          <w:b/>
        </w:rPr>
        <w:t>內容說明：</w:t>
      </w:r>
    </w:p>
    <w:p w:rsidR="00516192" w:rsidRPr="00C82B3C" w:rsidRDefault="00516192" w:rsidP="00516192">
      <w:pPr>
        <w:spacing w:line="360" w:lineRule="auto"/>
        <w:ind w:right="-6" w:firstLine="350"/>
        <w:rPr>
          <w:rFonts w:eastAsia="標楷體"/>
        </w:rPr>
      </w:pPr>
      <w:r w:rsidRPr="00C82B3C">
        <w:rPr>
          <w:rFonts w:eastAsia="標楷體"/>
        </w:rPr>
        <w:lastRenderedPageBreak/>
        <w:t xml:space="preserve">5.1 </w:t>
      </w:r>
      <w:r w:rsidRPr="00C82B3C">
        <w:rPr>
          <w:rFonts w:eastAsia="標楷體"/>
        </w:rPr>
        <w:t>各</w:t>
      </w:r>
      <w:r w:rsidRPr="00C82B3C">
        <w:rPr>
          <w:rFonts w:eastAsia="標楷體" w:hint="eastAsia"/>
        </w:rPr>
        <w:t>單位職責</w:t>
      </w:r>
    </w:p>
    <w:p w:rsidR="00516192" w:rsidRPr="00C82B3C" w:rsidRDefault="00516192" w:rsidP="00516192">
      <w:pPr>
        <w:spacing w:line="360" w:lineRule="auto"/>
        <w:ind w:firstLine="840"/>
        <w:jc w:val="both"/>
        <w:rPr>
          <w:rFonts w:eastAsia="標楷體"/>
        </w:rPr>
      </w:pPr>
      <w:r w:rsidRPr="00C82B3C">
        <w:rPr>
          <w:rFonts w:eastAsia="標楷體"/>
        </w:rPr>
        <w:t xml:space="preserve">5.1.1 </w:t>
      </w:r>
      <w:r w:rsidRPr="00C82B3C">
        <w:rPr>
          <w:rFonts w:eastAsia="標楷體" w:hint="eastAsia"/>
        </w:rPr>
        <w:t>校長</w:t>
      </w:r>
    </w:p>
    <w:p w:rsidR="00516192" w:rsidRPr="00C82B3C" w:rsidRDefault="00516192" w:rsidP="00516192">
      <w:pPr>
        <w:spacing w:after="60" w:line="360" w:lineRule="auto"/>
        <w:ind w:firstLine="1498"/>
        <w:jc w:val="both"/>
        <w:rPr>
          <w:rFonts w:eastAsia="標楷體"/>
        </w:rPr>
      </w:pPr>
      <w:r w:rsidRPr="00C82B3C">
        <w:rPr>
          <w:rFonts w:eastAsia="標楷體"/>
        </w:rPr>
        <w:t>督導所屬建立完整的製程變更管理制度，並提供必要之資源。</w:t>
      </w:r>
    </w:p>
    <w:p w:rsidR="00516192" w:rsidRPr="00C82B3C" w:rsidRDefault="00516192" w:rsidP="00516192">
      <w:pPr>
        <w:spacing w:after="60" w:line="360" w:lineRule="auto"/>
        <w:ind w:firstLine="840"/>
        <w:jc w:val="both"/>
        <w:rPr>
          <w:rFonts w:eastAsia="標楷體"/>
        </w:rPr>
      </w:pPr>
      <w:r w:rsidRPr="00C82B3C">
        <w:rPr>
          <w:rFonts w:eastAsia="標楷體"/>
        </w:rPr>
        <w:t xml:space="preserve">5.1.2 </w:t>
      </w:r>
      <w:r w:rsidRPr="00C82B3C">
        <w:rPr>
          <w:rFonts w:eastAsia="標楷體"/>
        </w:rPr>
        <w:t>受理單位主管</w:t>
      </w:r>
      <w:r w:rsidRPr="00C82B3C">
        <w:rPr>
          <w:rFonts w:eastAsia="標楷體"/>
        </w:rPr>
        <w:t>(</w:t>
      </w:r>
      <w:r w:rsidRPr="00C82B3C">
        <w:rPr>
          <w:rFonts w:eastAsia="標楷體"/>
        </w:rPr>
        <w:t>指定受理之單位主管</w:t>
      </w:r>
      <w:r w:rsidRPr="00C82B3C">
        <w:rPr>
          <w:rFonts w:eastAsia="標楷體"/>
        </w:rPr>
        <w:t>)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1.</w:t>
      </w:r>
      <w:r w:rsidR="00516192" w:rsidRPr="00F528A5">
        <w:rPr>
          <w:rFonts w:eastAsia="標楷體"/>
        </w:rPr>
        <w:t>分配變更或修改案件之設計工作，並追蹤執行情形。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2.</w:t>
      </w:r>
      <w:r w:rsidR="00516192" w:rsidRPr="00F528A5">
        <w:rPr>
          <w:rFonts w:eastAsia="標楷體"/>
        </w:rPr>
        <w:t>協調或指派合適的</w:t>
      </w:r>
      <w:r w:rsidR="00516192" w:rsidRPr="00F528A5">
        <w:rPr>
          <w:rFonts w:eastAsia="標楷體" w:hint="eastAsia"/>
        </w:rPr>
        <w:t>校內工作者</w:t>
      </w:r>
      <w:r w:rsidR="00516192" w:rsidRPr="00F528A5">
        <w:rPr>
          <w:rFonts w:eastAsia="標楷體"/>
        </w:rPr>
        <w:t>參與設計之</w:t>
      </w:r>
      <w:r w:rsidR="00516192" w:rsidRPr="00F528A5">
        <w:rPr>
          <w:rFonts w:eastAsia="標楷體" w:hint="eastAsia"/>
        </w:rPr>
        <w:t>職業安全衛生</w:t>
      </w:r>
      <w:r w:rsidR="00516192" w:rsidRPr="00F528A5">
        <w:rPr>
          <w:rFonts w:eastAsia="標楷體"/>
        </w:rPr>
        <w:t>影響評估。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3.</w:t>
      </w:r>
      <w:r w:rsidR="00516192" w:rsidRPr="00F528A5">
        <w:rPr>
          <w:rFonts w:eastAsia="標楷體"/>
        </w:rPr>
        <w:t>督導完成變更案件測試前應有的安全措施，及相關</w:t>
      </w:r>
      <w:r w:rsidR="00516192" w:rsidRPr="00F528A5">
        <w:rPr>
          <w:rFonts w:eastAsia="標楷體" w:hint="eastAsia"/>
        </w:rPr>
        <w:t>校內工作者</w:t>
      </w:r>
      <w:r w:rsidR="00516192" w:rsidRPr="00F528A5">
        <w:rPr>
          <w:rFonts w:eastAsia="標楷體"/>
        </w:rPr>
        <w:t>之訓練。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4.</w:t>
      </w:r>
      <w:r w:rsidR="00516192" w:rsidRPr="00F528A5">
        <w:rPr>
          <w:rFonts w:eastAsia="標楷體"/>
        </w:rPr>
        <w:t>負責管轄區域所屬資料符合現場實況。</w:t>
      </w:r>
    </w:p>
    <w:p w:rsidR="00516192" w:rsidRPr="00C82B3C" w:rsidRDefault="00516192" w:rsidP="00516192">
      <w:pPr>
        <w:spacing w:after="60" w:line="360" w:lineRule="auto"/>
        <w:ind w:left="1722" w:hanging="882"/>
        <w:jc w:val="both"/>
        <w:rPr>
          <w:rFonts w:eastAsia="標楷體"/>
        </w:rPr>
      </w:pPr>
      <w:r w:rsidRPr="00C82B3C">
        <w:rPr>
          <w:rFonts w:eastAsia="標楷體"/>
        </w:rPr>
        <w:t xml:space="preserve">5.1.4 </w:t>
      </w:r>
      <w:r w:rsidRPr="00C82B3C">
        <w:rPr>
          <w:rFonts w:eastAsia="標楷體"/>
        </w:rPr>
        <w:t>相關配合單位主管或</w:t>
      </w:r>
      <w:r w:rsidRPr="00C82B3C">
        <w:rPr>
          <w:rFonts w:eastAsia="標楷體" w:hint="eastAsia"/>
        </w:rPr>
        <w:t>校內工作者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1.</w:t>
      </w:r>
      <w:r w:rsidR="00516192" w:rsidRPr="00F528A5">
        <w:rPr>
          <w:rFonts w:eastAsia="標楷體"/>
        </w:rPr>
        <w:t>負責變更之設備、設施按規定程序進行安裝、操作或維修等。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2.</w:t>
      </w:r>
      <w:r w:rsidR="00516192" w:rsidRPr="00F528A5">
        <w:rPr>
          <w:rFonts w:eastAsia="標楷體"/>
        </w:rPr>
        <w:t>負責相關</w:t>
      </w:r>
      <w:r w:rsidR="00516192" w:rsidRPr="00F528A5">
        <w:rPr>
          <w:rFonts w:eastAsia="標楷體" w:hint="eastAsia"/>
        </w:rPr>
        <w:t>校內工作者</w:t>
      </w:r>
      <w:r w:rsidR="00516192" w:rsidRPr="00F528A5">
        <w:rPr>
          <w:rFonts w:eastAsia="標楷體"/>
        </w:rPr>
        <w:t>接受變更之相關訓練，務必使</w:t>
      </w:r>
      <w:r w:rsidR="00516192" w:rsidRPr="00F528A5">
        <w:rPr>
          <w:rFonts w:eastAsia="標楷體" w:hint="eastAsia"/>
        </w:rPr>
        <w:t>其</w:t>
      </w:r>
      <w:r w:rsidR="00516192" w:rsidRPr="00F528A5">
        <w:rPr>
          <w:rFonts w:eastAsia="標楷體"/>
        </w:rPr>
        <w:t>能安全的操作變更後之設備或設施。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3.</w:t>
      </w:r>
      <w:r w:rsidR="00516192" w:rsidRPr="00F528A5">
        <w:rPr>
          <w:rFonts w:eastAsia="標楷體"/>
        </w:rPr>
        <w:t>依據程序執行緊急變更。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4.</w:t>
      </w:r>
      <w:r w:rsidR="00516192" w:rsidRPr="00F528A5">
        <w:rPr>
          <w:rFonts w:eastAsia="標楷體"/>
        </w:rPr>
        <w:t>與承攬商安全衛生有關之變更，在協議組織或相關會議中執行諮詢、告知或訓練。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5.</w:t>
      </w:r>
      <w:r w:rsidR="00516192" w:rsidRPr="00F528A5">
        <w:rPr>
          <w:rFonts w:eastAsia="標楷體"/>
        </w:rPr>
        <w:t>操作單位主管負責測試前安全檢查。</w:t>
      </w:r>
    </w:p>
    <w:p w:rsidR="00516192" w:rsidRPr="00C82B3C" w:rsidRDefault="00516192" w:rsidP="00516192">
      <w:pPr>
        <w:spacing w:line="360" w:lineRule="auto"/>
        <w:ind w:firstLine="840"/>
        <w:jc w:val="both"/>
        <w:rPr>
          <w:rFonts w:eastAsia="標楷體"/>
        </w:rPr>
      </w:pPr>
      <w:r w:rsidRPr="00C82B3C">
        <w:rPr>
          <w:rFonts w:eastAsia="標楷體"/>
        </w:rPr>
        <w:t xml:space="preserve">5.1.5 </w:t>
      </w:r>
      <w:r w:rsidRPr="00C82B3C">
        <w:rPr>
          <w:rFonts w:eastAsia="標楷體" w:hint="eastAsia"/>
        </w:rPr>
        <w:t>變更</w:t>
      </w:r>
      <w:r w:rsidRPr="00C82B3C">
        <w:rPr>
          <w:rFonts w:eastAsia="標楷體"/>
        </w:rPr>
        <w:t>負責人</w:t>
      </w:r>
    </w:p>
    <w:p w:rsidR="00516192" w:rsidRPr="00C82B3C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1.</w:t>
      </w:r>
      <w:r w:rsidR="00516192" w:rsidRPr="00C82B3C">
        <w:rPr>
          <w:rFonts w:eastAsia="標楷體"/>
        </w:rPr>
        <w:t>負責變更作業流程管制表之製訂與管制。</w:t>
      </w:r>
    </w:p>
    <w:p w:rsidR="00516192" w:rsidRPr="00C82B3C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2.</w:t>
      </w:r>
      <w:r w:rsidR="00516192" w:rsidRPr="00C82B3C">
        <w:rPr>
          <w:rFonts w:eastAsia="標楷體"/>
        </w:rPr>
        <w:t>負責變更案件之基本設計及依據安全衛生影響評估結果修正、設計案件。</w:t>
      </w:r>
    </w:p>
    <w:p w:rsidR="00516192" w:rsidRPr="00C82B3C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3.</w:t>
      </w:r>
      <w:r w:rsidR="00516192" w:rsidRPr="00C82B3C">
        <w:rPr>
          <w:rFonts w:eastAsia="標楷體"/>
        </w:rPr>
        <w:t>掌握變更案件之執行進度，確保測試前依序完成製程修改管理程序之相關工作。</w:t>
      </w:r>
    </w:p>
    <w:p w:rsidR="00516192" w:rsidRPr="00C82B3C" w:rsidRDefault="00516192" w:rsidP="00516192">
      <w:pPr>
        <w:spacing w:after="60" w:line="360" w:lineRule="auto"/>
        <w:ind w:firstLine="840"/>
        <w:jc w:val="both"/>
        <w:rPr>
          <w:rFonts w:eastAsia="標楷體"/>
        </w:rPr>
      </w:pPr>
      <w:r w:rsidRPr="00C82B3C">
        <w:rPr>
          <w:rFonts w:eastAsia="標楷體"/>
        </w:rPr>
        <w:t xml:space="preserve">5.1.6 </w:t>
      </w:r>
      <w:r w:rsidRPr="00C82B3C">
        <w:rPr>
          <w:rFonts w:eastAsia="標楷體"/>
        </w:rPr>
        <w:t>職業安全衛生管理</w:t>
      </w:r>
      <w:r w:rsidR="009A3749">
        <w:rPr>
          <w:rFonts w:eastAsia="標楷體" w:hint="eastAsia"/>
        </w:rPr>
        <w:t>小組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1.</w:t>
      </w:r>
      <w:r w:rsidR="00516192" w:rsidRPr="00F528A5">
        <w:rPr>
          <w:rFonts w:eastAsia="標楷體"/>
        </w:rPr>
        <w:t>提供設計上所需安全衛生及環保之相關規定，並參與職業安全衛生考量面及風險評估等工作。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2.</w:t>
      </w:r>
      <w:r w:rsidR="00516192" w:rsidRPr="00F528A5">
        <w:rPr>
          <w:rFonts w:eastAsia="標楷體"/>
        </w:rPr>
        <w:t>蒐集相關資訊，提供建議，並協助各部門辦理變更案件之安全衛生訓練。</w:t>
      </w:r>
    </w:p>
    <w:p w:rsidR="00516192" w:rsidRPr="00C82B3C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lastRenderedPageBreak/>
        <w:t>3.</w:t>
      </w:r>
      <w:r w:rsidR="00516192" w:rsidRPr="00C82B3C">
        <w:rPr>
          <w:rFonts w:eastAsia="標楷體"/>
        </w:rPr>
        <w:t>提供變更前、後之相關建議。</w:t>
      </w:r>
    </w:p>
    <w:p w:rsidR="00516192" w:rsidRPr="00C82B3C" w:rsidRDefault="00516192" w:rsidP="00516192">
      <w:pPr>
        <w:tabs>
          <w:tab w:val="left" w:pos="8520"/>
        </w:tabs>
        <w:spacing w:after="120" w:line="360" w:lineRule="auto"/>
        <w:ind w:right="113" w:firstLineChars="200" w:firstLine="480"/>
        <w:textAlignment w:val="center"/>
        <w:rPr>
          <w:rFonts w:eastAsia="標楷體"/>
        </w:rPr>
      </w:pPr>
      <w:r w:rsidRPr="00C82B3C">
        <w:rPr>
          <w:rFonts w:eastAsia="標楷體"/>
        </w:rPr>
        <w:t>5.2</w:t>
      </w:r>
      <w:r w:rsidRPr="00C82B3C">
        <w:rPr>
          <w:rFonts w:eastAsia="標楷體"/>
        </w:rPr>
        <w:t>作業說明</w:t>
      </w:r>
    </w:p>
    <w:p w:rsidR="00516192" w:rsidRPr="00C82B3C" w:rsidRDefault="00516192" w:rsidP="00516192">
      <w:pPr>
        <w:tabs>
          <w:tab w:val="left" w:pos="8520"/>
        </w:tabs>
        <w:spacing w:after="60" w:line="360" w:lineRule="auto"/>
        <w:ind w:right="113" w:firstLineChars="300" w:firstLine="720"/>
        <w:textAlignment w:val="center"/>
        <w:rPr>
          <w:rFonts w:eastAsia="標楷體"/>
        </w:rPr>
      </w:pPr>
      <w:r w:rsidRPr="00C82B3C">
        <w:rPr>
          <w:rFonts w:eastAsia="標楷體"/>
        </w:rPr>
        <w:t>5.2.1</w:t>
      </w:r>
      <w:r w:rsidRPr="00C82B3C">
        <w:rPr>
          <w:rFonts w:eastAsia="標楷體"/>
        </w:rPr>
        <w:t>變更申請</w:t>
      </w:r>
    </w:p>
    <w:p w:rsidR="00516192" w:rsidRPr="00C82B3C" w:rsidRDefault="00516192" w:rsidP="00516192">
      <w:pPr>
        <w:spacing w:after="60" w:line="360" w:lineRule="auto"/>
        <w:ind w:leftChars="531" w:left="1274"/>
        <w:rPr>
          <w:rFonts w:eastAsia="標楷體"/>
        </w:rPr>
      </w:pPr>
      <w:r w:rsidRPr="00C82B3C">
        <w:rPr>
          <w:rFonts w:eastAsia="標楷體"/>
        </w:rPr>
        <w:t>由變更單位主管提出變更申請，並做初步評估後，轉送受理單位進行變更審核。</w:t>
      </w:r>
    </w:p>
    <w:p w:rsidR="00516192" w:rsidRPr="00C82B3C" w:rsidRDefault="00516192" w:rsidP="00516192">
      <w:pPr>
        <w:tabs>
          <w:tab w:val="left" w:pos="8520"/>
        </w:tabs>
        <w:spacing w:after="60" w:line="360" w:lineRule="auto"/>
        <w:ind w:right="113" w:firstLineChars="300" w:firstLine="720"/>
        <w:textAlignment w:val="center"/>
        <w:rPr>
          <w:rFonts w:eastAsia="標楷體"/>
        </w:rPr>
      </w:pPr>
      <w:r w:rsidRPr="00C82B3C">
        <w:rPr>
          <w:rFonts w:eastAsia="標楷體"/>
        </w:rPr>
        <w:t>5.2.2</w:t>
      </w:r>
      <w:r w:rsidRPr="00C82B3C">
        <w:rPr>
          <w:rFonts w:eastAsia="標楷體"/>
        </w:rPr>
        <w:t>變更案件之可行性與危害評估：</w:t>
      </w:r>
    </w:p>
    <w:p w:rsidR="00516192" w:rsidRPr="00C82B3C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1.</w:t>
      </w:r>
      <w:r w:rsidR="00516192" w:rsidRPr="00C82B3C">
        <w:rPr>
          <w:rFonts w:eastAsia="標楷體"/>
        </w:rPr>
        <w:t>受理單位主管應對變更申請案件實施可行性與危害評估</w:t>
      </w:r>
      <w:r w:rsidR="00516192" w:rsidRPr="00C82B3C">
        <w:rPr>
          <w:rFonts w:eastAsia="標楷體" w:hint="eastAsia"/>
        </w:rPr>
        <w:t>（參考附件一、危害鑑別風險評估執行辦法）</w:t>
      </w:r>
      <w:r w:rsidR="00516192" w:rsidRPr="00C82B3C">
        <w:rPr>
          <w:rFonts w:eastAsia="標楷體"/>
        </w:rPr>
        <w:t>，並審查是否需進行危害鑑別風險評估及決定控制措施之意見。如需進行危害鑑別風險評估，由執行變更單位主管協調或指派適當</w:t>
      </w:r>
      <w:r w:rsidR="00516192" w:rsidRPr="00C82B3C">
        <w:rPr>
          <w:rFonts w:eastAsia="標楷體" w:hint="eastAsia"/>
        </w:rPr>
        <w:t>校內工作者</w:t>
      </w:r>
      <w:r w:rsidR="00516192" w:rsidRPr="00C82B3C">
        <w:rPr>
          <w:rFonts w:eastAsia="標楷體"/>
        </w:rPr>
        <w:t>，並會同組織職業安全衛生委員會及</w:t>
      </w:r>
      <w:r w:rsidR="00516192" w:rsidRPr="00C82B3C">
        <w:rPr>
          <w:rFonts w:eastAsia="標楷體" w:hint="eastAsia"/>
        </w:rPr>
        <w:t>相關校內工作者</w:t>
      </w:r>
      <w:r w:rsidR="00516192" w:rsidRPr="00C82B3C">
        <w:rPr>
          <w:rFonts w:eastAsia="標楷體"/>
        </w:rPr>
        <w:t>，依安全衛生風險鑑別評估作業辦法實施評估，以確認變更後之潛在危害、風險及應有之控制措施。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2.</w:t>
      </w:r>
      <w:r w:rsidR="00516192" w:rsidRPr="00F528A5">
        <w:rPr>
          <w:rFonts w:eastAsia="標楷體"/>
        </w:rPr>
        <w:t>對於可行之變更案件則指派專人</w:t>
      </w:r>
      <w:r w:rsidR="00516192" w:rsidRPr="00F528A5">
        <w:rPr>
          <w:rFonts w:eastAsia="標楷體"/>
        </w:rPr>
        <w:t>(</w:t>
      </w:r>
      <w:r w:rsidR="00516192" w:rsidRPr="00F528A5">
        <w:rPr>
          <w:rFonts w:eastAsia="標楷體"/>
        </w:rPr>
        <w:t>稱為案件負責人</w:t>
      </w:r>
      <w:r w:rsidR="00516192" w:rsidRPr="00F528A5">
        <w:rPr>
          <w:rFonts w:eastAsia="標楷體"/>
        </w:rPr>
        <w:t>)</w:t>
      </w:r>
      <w:r w:rsidR="00516192" w:rsidRPr="00F528A5">
        <w:rPr>
          <w:rFonts w:eastAsia="標楷體"/>
        </w:rPr>
        <w:t>負責。受理單位認為必要時，得請</w:t>
      </w:r>
      <w:r w:rsidR="00516192" w:rsidRPr="00F528A5">
        <w:rPr>
          <w:rFonts w:eastAsia="標楷體" w:hint="eastAsia"/>
        </w:rPr>
        <w:t>校長</w:t>
      </w:r>
      <w:r w:rsidR="00516192" w:rsidRPr="00F528A5">
        <w:rPr>
          <w:rFonts w:eastAsia="標楷體"/>
        </w:rPr>
        <w:t>召集相關單位組成評估小組共同審查。若是不可行或顯著違反職業安全衛生規定者，應退回原申請單位修改。</w:t>
      </w:r>
    </w:p>
    <w:p w:rsidR="00F528A5" w:rsidRDefault="00516192" w:rsidP="00F528A5">
      <w:pPr>
        <w:tabs>
          <w:tab w:val="left" w:pos="8520"/>
        </w:tabs>
        <w:spacing w:after="120" w:line="360" w:lineRule="auto"/>
        <w:ind w:right="113" w:firstLineChars="200" w:firstLine="480"/>
        <w:textAlignment w:val="center"/>
        <w:rPr>
          <w:rFonts w:eastAsia="標楷體"/>
        </w:rPr>
      </w:pPr>
      <w:r w:rsidRPr="00C82B3C">
        <w:rPr>
          <w:rFonts w:eastAsia="標楷體"/>
        </w:rPr>
        <w:t>5.3</w:t>
      </w:r>
      <w:r w:rsidRPr="00C82B3C">
        <w:rPr>
          <w:rFonts w:eastAsia="標楷體"/>
        </w:rPr>
        <w:t>告知</w:t>
      </w:r>
      <w:r w:rsidRPr="00C82B3C">
        <w:rPr>
          <w:rFonts w:eastAsia="標楷體"/>
        </w:rPr>
        <w:t>/</w:t>
      </w:r>
      <w:r w:rsidRPr="00C82B3C">
        <w:rPr>
          <w:rFonts w:eastAsia="標楷體"/>
        </w:rPr>
        <w:t>訓練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1.</w:t>
      </w:r>
      <w:r w:rsidR="00516192" w:rsidRPr="00F528A5">
        <w:rPr>
          <w:rFonts w:eastAsia="標楷體"/>
          <w:spacing w:val="-6"/>
        </w:rPr>
        <w:t>變更影響所及之</w:t>
      </w:r>
      <w:r w:rsidR="00516192" w:rsidRPr="00F528A5">
        <w:rPr>
          <w:rFonts w:eastAsia="標楷體" w:hint="eastAsia"/>
        </w:rPr>
        <w:t>校內工作者及利益相關者</w:t>
      </w:r>
      <w:r w:rsidR="00516192" w:rsidRPr="00F528A5">
        <w:rPr>
          <w:rFonts w:eastAsia="標楷體"/>
          <w:spacing w:val="-6"/>
        </w:rPr>
        <w:t>須於該設備、設施或程序測試之前完成該變更之相關告知與訓練。包括新的操作標準及避免安全危害的作業方式，告知</w:t>
      </w:r>
      <w:r w:rsidR="00516192" w:rsidRPr="00F528A5">
        <w:rPr>
          <w:rFonts w:eastAsia="標楷體"/>
          <w:spacing w:val="-6"/>
        </w:rPr>
        <w:t>/</w:t>
      </w:r>
      <w:r w:rsidR="00516192" w:rsidRPr="00F528A5">
        <w:rPr>
          <w:rFonts w:eastAsia="標楷體"/>
          <w:spacing w:val="-6"/>
        </w:rPr>
        <w:t>訓練</w:t>
      </w:r>
      <w:r w:rsidR="00516192" w:rsidRPr="00F528A5">
        <w:rPr>
          <w:rFonts w:eastAsia="標楷體"/>
        </w:rPr>
        <w:t>記錄</w:t>
      </w:r>
      <w:r w:rsidR="00516192" w:rsidRPr="00F528A5">
        <w:rPr>
          <w:rFonts w:eastAsia="標楷體"/>
          <w:spacing w:val="-6"/>
        </w:rPr>
        <w:t>應保留資料備查。</w:t>
      </w:r>
    </w:p>
    <w:p w:rsidR="00516192" w:rsidRPr="00F528A5" w:rsidRDefault="00F528A5" w:rsidP="00F528A5">
      <w:pPr>
        <w:tabs>
          <w:tab w:val="left" w:pos="8520"/>
        </w:tabs>
        <w:spacing w:after="120" w:line="360" w:lineRule="auto"/>
        <w:ind w:leftChars="500" w:left="1440" w:right="113" w:hangingChars="100" w:hanging="240"/>
        <w:textAlignment w:val="center"/>
        <w:rPr>
          <w:rFonts w:eastAsia="標楷體"/>
        </w:rPr>
      </w:pPr>
      <w:r>
        <w:rPr>
          <w:rFonts w:eastAsia="標楷體" w:hint="eastAsia"/>
        </w:rPr>
        <w:t>2.</w:t>
      </w:r>
      <w:r w:rsidR="00516192" w:rsidRPr="00F528A5">
        <w:rPr>
          <w:rFonts w:eastAsia="標楷體"/>
        </w:rPr>
        <w:t>變更正式使用後，如確認為永久變更，其相關作業管制標準書，應於三個月內修改完成，並實施教育訓練，訓練記錄存查。</w:t>
      </w:r>
    </w:p>
    <w:p w:rsidR="00516192" w:rsidRPr="00C82B3C" w:rsidRDefault="00516192" w:rsidP="00516192">
      <w:pPr>
        <w:tabs>
          <w:tab w:val="left" w:pos="8520"/>
        </w:tabs>
        <w:spacing w:after="120" w:line="360" w:lineRule="auto"/>
        <w:ind w:right="113" w:firstLineChars="200" w:firstLine="480"/>
        <w:textAlignment w:val="center"/>
        <w:rPr>
          <w:rFonts w:eastAsia="標楷體"/>
        </w:rPr>
      </w:pPr>
      <w:r w:rsidRPr="00C82B3C">
        <w:rPr>
          <w:rFonts w:eastAsia="標楷體"/>
        </w:rPr>
        <w:t>5.4</w:t>
      </w:r>
      <w:r w:rsidRPr="00C82B3C">
        <w:rPr>
          <w:rFonts w:eastAsia="標楷體"/>
        </w:rPr>
        <w:t>測試前安全檢查：</w:t>
      </w:r>
    </w:p>
    <w:p w:rsidR="00516192" w:rsidRPr="00C82B3C" w:rsidRDefault="00516192" w:rsidP="00F528A5">
      <w:pPr>
        <w:spacing w:line="360" w:lineRule="auto"/>
        <w:ind w:leftChars="354" w:left="850" w:firstLineChars="100" w:firstLine="240"/>
        <w:jc w:val="both"/>
        <w:rPr>
          <w:rFonts w:eastAsia="標楷體"/>
        </w:rPr>
      </w:pPr>
      <w:r w:rsidRPr="00C82B3C">
        <w:rPr>
          <w:rFonts w:eastAsia="標楷體"/>
        </w:rPr>
        <w:t>當變更完成而準備運轉前，案件負責人應依執行測試前安全檢查，以確認完成下列事項：</w:t>
      </w:r>
    </w:p>
    <w:p w:rsidR="00516192" w:rsidRPr="009A3749" w:rsidRDefault="009A3749" w:rsidP="009A3749">
      <w:pPr>
        <w:spacing w:line="360" w:lineRule="auto"/>
        <w:ind w:firstLineChars="600" w:firstLine="1440"/>
        <w:jc w:val="both"/>
        <w:rPr>
          <w:rFonts w:eastAsia="標楷體"/>
        </w:rPr>
      </w:pPr>
      <w:r>
        <w:rPr>
          <w:rFonts w:eastAsia="標楷體" w:hint="eastAsia"/>
        </w:rPr>
        <w:t>1.</w:t>
      </w:r>
      <w:r w:rsidR="00516192" w:rsidRPr="009A3749">
        <w:rPr>
          <w:rFonts w:eastAsia="標楷體"/>
        </w:rPr>
        <w:t>應執行之風險評估及所提之改善</w:t>
      </w:r>
      <w:proofErr w:type="gramStart"/>
      <w:r w:rsidR="00516192" w:rsidRPr="009A3749">
        <w:rPr>
          <w:rFonts w:eastAsia="標楷體"/>
        </w:rPr>
        <w:t>建議均已完成</w:t>
      </w:r>
      <w:proofErr w:type="gramEnd"/>
      <w:r w:rsidR="00516192" w:rsidRPr="009A3749">
        <w:rPr>
          <w:rFonts w:eastAsia="標楷體"/>
        </w:rPr>
        <w:t>。</w:t>
      </w:r>
    </w:p>
    <w:p w:rsidR="00516192" w:rsidRPr="009A3749" w:rsidRDefault="009A3749" w:rsidP="009A3749">
      <w:pPr>
        <w:spacing w:line="360" w:lineRule="auto"/>
        <w:ind w:firstLineChars="600" w:firstLine="1440"/>
        <w:jc w:val="both"/>
        <w:rPr>
          <w:rFonts w:eastAsia="標楷體"/>
        </w:rPr>
      </w:pPr>
      <w:r>
        <w:rPr>
          <w:rFonts w:eastAsia="標楷體" w:hint="eastAsia"/>
        </w:rPr>
        <w:t>2.</w:t>
      </w:r>
      <w:r w:rsidR="00516192" w:rsidRPr="009A3749">
        <w:rPr>
          <w:rFonts w:eastAsia="標楷體"/>
        </w:rPr>
        <w:t>施工或建造均符合設計之規格。</w:t>
      </w:r>
    </w:p>
    <w:p w:rsidR="00516192" w:rsidRPr="009A3749" w:rsidRDefault="009A3749" w:rsidP="009A3749">
      <w:pPr>
        <w:spacing w:line="360" w:lineRule="auto"/>
        <w:ind w:firstLineChars="600" w:firstLine="1440"/>
        <w:jc w:val="both"/>
        <w:rPr>
          <w:rFonts w:eastAsia="標楷體"/>
        </w:rPr>
      </w:pPr>
      <w:r>
        <w:rPr>
          <w:rFonts w:eastAsia="標楷體" w:hint="eastAsia"/>
        </w:rPr>
        <w:t>3.</w:t>
      </w:r>
      <w:r w:rsidR="00516192" w:rsidRPr="009A3749">
        <w:rPr>
          <w:rFonts w:eastAsia="標楷體"/>
        </w:rPr>
        <w:t>操作、維修及緊急應變處理程序已修正更新。</w:t>
      </w:r>
    </w:p>
    <w:p w:rsidR="00516192" w:rsidRPr="009A3749" w:rsidRDefault="009A3749" w:rsidP="009A3749">
      <w:pPr>
        <w:spacing w:line="360" w:lineRule="auto"/>
        <w:ind w:firstLineChars="600" w:firstLine="1440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4.</w:t>
      </w:r>
      <w:r w:rsidR="00516192" w:rsidRPr="009A3749">
        <w:rPr>
          <w:rFonts w:eastAsia="標楷體"/>
        </w:rPr>
        <w:t>相關的圖樣、作業程序、操作參數等文件</w:t>
      </w:r>
      <w:proofErr w:type="gramStart"/>
      <w:r w:rsidR="00516192" w:rsidRPr="009A3749">
        <w:rPr>
          <w:rFonts w:eastAsia="標楷體"/>
        </w:rPr>
        <w:t>資料均已修訂</w:t>
      </w:r>
      <w:proofErr w:type="gramEnd"/>
      <w:r w:rsidR="00516192" w:rsidRPr="009A3749">
        <w:rPr>
          <w:rFonts w:eastAsia="標楷體"/>
        </w:rPr>
        <w:t>更新。</w:t>
      </w:r>
    </w:p>
    <w:p w:rsidR="00516192" w:rsidRPr="009A3749" w:rsidRDefault="009A3749" w:rsidP="009A3749">
      <w:pPr>
        <w:spacing w:line="360" w:lineRule="auto"/>
        <w:ind w:firstLineChars="600" w:firstLine="1440"/>
        <w:jc w:val="both"/>
        <w:rPr>
          <w:rFonts w:eastAsia="標楷體"/>
        </w:rPr>
      </w:pPr>
      <w:r>
        <w:rPr>
          <w:rFonts w:eastAsia="標楷體" w:hint="eastAsia"/>
        </w:rPr>
        <w:t>5.</w:t>
      </w:r>
      <w:r w:rsidR="00516192" w:rsidRPr="009A3749">
        <w:rPr>
          <w:rFonts w:eastAsia="標楷體"/>
        </w:rPr>
        <w:t>變更影響所及操作</w:t>
      </w:r>
      <w:r w:rsidR="00516192" w:rsidRPr="009A3749">
        <w:rPr>
          <w:rFonts w:eastAsia="標楷體" w:hint="eastAsia"/>
        </w:rPr>
        <w:t>校內工作者</w:t>
      </w:r>
      <w:r w:rsidR="00516192" w:rsidRPr="009A3749">
        <w:rPr>
          <w:rFonts w:eastAsia="標楷體"/>
        </w:rPr>
        <w:t>與主管已接受相關訓練或被充分告知。</w:t>
      </w:r>
    </w:p>
    <w:p w:rsidR="00516192" w:rsidRPr="009A3749" w:rsidRDefault="009A3749" w:rsidP="009A3749">
      <w:pPr>
        <w:spacing w:line="360" w:lineRule="auto"/>
        <w:ind w:firstLineChars="600" w:firstLine="1440"/>
        <w:jc w:val="both"/>
        <w:rPr>
          <w:rFonts w:eastAsia="標楷體"/>
          <w:b/>
          <w:bCs/>
        </w:rPr>
      </w:pPr>
      <w:r>
        <w:rPr>
          <w:rFonts w:eastAsia="標楷體" w:hint="eastAsia"/>
        </w:rPr>
        <w:t>6.</w:t>
      </w:r>
      <w:r w:rsidR="00516192" w:rsidRPr="009A3749">
        <w:rPr>
          <w:rFonts w:eastAsia="標楷體"/>
        </w:rPr>
        <w:t>其他職業安全衛生相關法規相關要求是否符合。</w:t>
      </w:r>
    </w:p>
    <w:p w:rsidR="00516192" w:rsidRPr="009A3749" w:rsidRDefault="009A3749" w:rsidP="009A3749">
      <w:pPr>
        <w:spacing w:line="360" w:lineRule="auto"/>
        <w:ind w:firstLineChars="600" w:firstLine="1440"/>
        <w:jc w:val="both"/>
        <w:rPr>
          <w:rFonts w:eastAsia="標楷體"/>
        </w:rPr>
      </w:pPr>
      <w:r>
        <w:rPr>
          <w:rFonts w:eastAsia="標楷體" w:hint="eastAsia"/>
        </w:rPr>
        <w:t>7.</w:t>
      </w:r>
      <w:r w:rsidR="00516192" w:rsidRPr="009A3749">
        <w:rPr>
          <w:rFonts w:eastAsia="標楷體"/>
        </w:rPr>
        <w:t>上述所有項目經確認無誤後，始可作業。</w:t>
      </w:r>
    </w:p>
    <w:p w:rsidR="00EC7861" w:rsidRPr="00516192" w:rsidRDefault="00EC7861" w:rsidP="00516192">
      <w:pPr>
        <w:widowControl/>
      </w:pPr>
    </w:p>
    <w:sectPr w:rsidR="00EC7861" w:rsidRPr="00516192" w:rsidSect="00516192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B8" w:rsidRDefault="00B257B8" w:rsidP="009A3749">
      <w:r>
        <w:separator/>
      </w:r>
    </w:p>
  </w:endnote>
  <w:endnote w:type="continuationSeparator" w:id="0">
    <w:p w:rsidR="00B257B8" w:rsidRDefault="00B257B8" w:rsidP="009A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B8" w:rsidRDefault="00B257B8" w:rsidP="009A3749">
      <w:r>
        <w:separator/>
      </w:r>
    </w:p>
  </w:footnote>
  <w:footnote w:type="continuationSeparator" w:id="0">
    <w:p w:rsidR="00B257B8" w:rsidRDefault="00B257B8" w:rsidP="009A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1E30"/>
    <w:multiLevelType w:val="hybridMultilevel"/>
    <w:tmpl w:val="9CD4119A"/>
    <w:lvl w:ilvl="0" w:tplc="ED6275C0">
      <w:start w:val="1"/>
      <w:numFmt w:val="lowerLetter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B8083C"/>
    <w:multiLevelType w:val="hybridMultilevel"/>
    <w:tmpl w:val="0E5C270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8D7A1F"/>
    <w:multiLevelType w:val="hybridMultilevel"/>
    <w:tmpl w:val="D1205C16"/>
    <w:lvl w:ilvl="0" w:tplc="42DC6226">
      <w:start w:val="1"/>
      <w:numFmt w:val="lowerLetter"/>
      <w:lvlText w:val="%1、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>
    <w:nsid w:val="3EB022BE"/>
    <w:multiLevelType w:val="hybridMultilevel"/>
    <w:tmpl w:val="B9D24B26"/>
    <w:lvl w:ilvl="0" w:tplc="7766E3A4">
      <w:start w:val="1"/>
      <w:numFmt w:val="lowerLetter"/>
      <w:lvlText w:val="%1、"/>
      <w:lvlJc w:val="left"/>
      <w:pPr>
        <w:ind w:left="18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8" w:hanging="480"/>
      </w:pPr>
    </w:lvl>
    <w:lvl w:ilvl="2" w:tplc="0409001B" w:tentative="1">
      <w:start w:val="1"/>
      <w:numFmt w:val="lowerRoman"/>
      <w:lvlText w:val="%3."/>
      <w:lvlJc w:val="right"/>
      <w:pPr>
        <w:ind w:left="2938" w:hanging="480"/>
      </w:pPr>
    </w:lvl>
    <w:lvl w:ilvl="3" w:tplc="0409000F" w:tentative="1">
      <w:start w:val="1"/>
      <w:numFmt w:val="decimal"/>
      <w:lvlText w:val="%4."/>
      <w:lvlJc w:val="left"/>
      <w:pPr>
        <w:ind w:left="3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8" w:hanging="480"/>
      </w:pPr>
    </w:lvl>
    <w:lvl w:ilvl="5" w:tplc="0409001B" w:tentative="1">
      <w:start w:val="1"/>
      <w:numFmt w:val="lowerRoman"/>
      <w:lvlText w:val="%6."/>
      <w:lvlJc w:val="right"/>
      <w:pPr>
        <w:ind w:left="4378" w:hanging="480"/>
      </w:pPr>
    </w:lvl>
    <w:lvl w:ilvl="6" w:tplc="0409000F" w:tentative="1">
      <w:start w:val="1"/>
      <w:numFmt w:val="decimal"/>
      <w:lvlText w:val="%7."/>
      <w:lvlJc w:val="left"/>
      <w:pPr>
        <w:ind w:left="4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8" w:hanging="480"/>
      </w:pPr>
    </w:lvl>
    <w:lvl w:ilvl="8" w:tplc="0409001B" w:tentative="1">
      <w:start w:val="1"/>
      <w:numFmt w:val="lowerRoman"/>
      <w:lvlText w:val="%9."/>
      <w:lvlJc w:val="right"/>
      <w:pPr>
        <w:ind w:left="5818" w:hanging="480"/>
      </w:pPr>
    </w:lvl>
  </w:abstractNum>
  <w:abstractNum w:abstractNumId="4">
    <w:nsid w:val="3F636C37"/>
    <w:multiLevelType w:val="hybridMultilevel"/>
    <w:tmpl w:val="2C7E5964"/>
    <w:lvl w:ilvl="0" w:tplc="0A54B292">
      <w:start w:val="1"/>
      <w:numFmt w:val="lowerLetter"/>
      <w:lvlText w:val="%1、"/>
      <w:lvlJc w:val="left"/>
      <w:pPr>
        <w:ind w:left="1830" w:hanging="360"/>
      </w:pPr>
      <w:rPr>
        <w:rFonts w:hint="default"/>
      </w:rPr>
    </w:lvl>
    <w:lvl w:ilvl="1" w:tplc="ED6275C0">
      <w:start w:val="1"/>
      <w:numFmt w:val="lowerLetter"/>
      <w:lvlText w:val="%2."/>
      <w:lvlJc w:val="left"/>
      <w:pPr>
        <w:ind w:left="2310" w:hanging="360"/>
      </w:pPr>
      <w:rPr>
        <w:rFonts w:hint="default"/>
      </w:rPr>
    </w:lvl>
    <w:lvl w:ilvl="2" w:tplc="B574A97E">
      <w:start w:val="1"/>
      <w:numFmt w:val="lowerLetter"/>
      <w:lvlText w:val="(%3)"/>
      <w:lvlJc w:val="left"/>
      <w:pPr>
        <w:ind w:left="2826" w:hanging="396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5">
    <w:nsid w:val="4FCA3E6B"/>
    <w:multiLevelType w:val="hybridMultilevel"/>
    <w:tmpl w:val="DC46E322"/>
    <w:lvl w:ilvl="0" w:tplc="9FB43AB6">
      <w:start w:val="1"/>
      <w:numFmt w:val="lowerLetter"/>
      <w:lvlText w:val="%1、"/>
      <w:lvlJc w:val="left"/>
      <w:pPr>
        <w:ind w:left="18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8" w:hanging="480"/>
      </w:pPr>
    </w:lvl>
    <w:lvl w:ilvl="2" w:tplc="0409001B" w:tentative="1">
      <w:start w:val="1"/>
      <w:numFmt w:val="lowerRoman"/>
      <w:lvlText w:val="%3."/>
      <w:lvlJc w:val="right"/>
      <w:pPr>
        <w:ind w:left="2938" w:hanging="480"/>
      </w:pPr>
    </w:lvl>
    <w:lvl w:ilvl="3" w:tplc="0409000F" w:tentative="1">
      <w:start w:val="1"/>
      <w:numFmt w:val="decimal"/>
      <w:lvlText w:val="%4."/>
      <w:lvlJc w:val="left"/>
      <w:pPr>
        <w:ind w:left="3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8" w:hanging="480"/>
      </w:pPr>
    </w:lvl>
    <w:lvl w:ilvl="5" w:tplc="0409001B" w:tentative="1">
      <w:start w:val="1"/>
      <w:numFmt w:val="lowerRoman"/>
      <w:lvlText w:val="%6."/>
      <w:lvlJc w:val="right"/>
      <w:pPr>
        <w:ind w:left="4378" w:hanging="480"/>
      </w:pPr>
    </w:lvl>
    <w:lvl w:ilvl="6" w:tplc="0409000F" w:tentative="1">
      <w:start w:val="1"/>
      <w:numFmt w:val="decimal"/>
      <w:lvlText w:val="%7."/>
      <w:lvlJc w:val="left"/>
      <w:pPr>
        <w:ind w:left="4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8" w:hanging="480"/>
      </w:pPr>
    </w:lvl>
    <w:lvl w:ilvl="8" w:tplc="0409001B" w:tentative="1">
      <w:start w:val="1"/>
      <w:numFmt w:val="lowerRoman"/>
      <w:lvlText w:val="%9."/>
      <w:lvlJc w:val="right"/>
      <w:pPr>
        <w:ind w:left="5818" w:hanging="480"/>
      </w:pPr>
    </w:lvl>
  </w:abstractNum>
  <w:abstractNum w:abstractNumId="6">
    <w:nsid w:val="57867B83"/>
    <w:multiLevelType w:val="hybridMultilevel"/>
    <w:tmpl w:val="6CF69D6C"/>
    <w:lvl w:ilvl="0" w:tplc="0A54B292">
      <w:start w:val="1"/>
      <w:numFmt w:val="lowerLetter"/>
      <w:lvlText w:val="%1、"/>
      <w:lvlJc w:val="left"/>
      <w:pPr>
        <w:ind w:left="1830" w:hanging="360"/>
      </w:pPr>
      <w:rPr>
        <w:rFonts w:hint="default"/>
      </w:rPr>
    </w:lvl>
    <w:lvl w:ilvl="1" w:tplc="ED6275C0">
      <w:start w:val="1"/>
      <w:numFmt w:val="lowerLetter"/>
      <w:lvlText w:val="%2."/>
      <w:lvlJc w:val="left"/>
      <w:pPr>
        <w:ind w:left="2310" w:hanging="360"/>
      </w:pPr>
      <w:rPr>
        <w:rFonts w:hint="default"/>
      </w:rPr>
    </w:lvl>
    <w:lvl w:ilvl="2" w:tplc="E512A91A">
      <w:start w:val="1"/>
      <w:numFmt w:val="decimal"/>
      <w:lvlText w:val="(%3)."/>
      <w:lvlJc w:val="left"/>
      <w:pPr>
        <w:ind w:left="2826" w:hanging="396"/>
      </w:pPr>
      <w:rPr>
        <w:rFonts w:hint="eastAsia"/>
        <w:b/>
      </w:r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92"/>
    <w:rsid w:val="001A0D10"/>
    <w:rsid w:val="00436896"/>
    <w:rsid w:val="00516192"/>
    <w:rsid w:val="009A3749"/>
    <w:rsid w:val="00B257B8"/>
    <w:rsid w:val="00C20E1C"/>
    <w:rsid w:val="00DC53D5"/>
    <w:rsid w:val="00EC7861"/>
    <w:rsid w:val="00F5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9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516192"/>
    <w:pPr>
      <w:tabs>
        <w:tab w:val="left" w:pos="4140"/>
      </w:tabs>
      <w:spacing w:line="440" w:lineRule="exact"/>
      <w:ind w:leftChars="467" w:left="1681" w:hangingChars="200" w:hanging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516192"/>
    <w:rPr>
      <w:rFonts w:ascii="Times New Roman" w:eastAsia="標楷體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9A3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37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3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374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3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37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19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516192"/>
    <w:pPr>
      <w:tabs>
        <w:tab w:val="left" w:pos="4140"/>
      </w:tabs>
      <w:spacing w:line="440" w:lineRule="exact"/>
      <w:ind w:leftChars="467" w:left="1681" w:hangingChars="200" w:hanging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20">
    <w:name w:val="本文縮排 2 字元"/>
    <w:basedOn w:val="a0"/>
    <w:link w:val="2"/>
    <w:rsid w:val="00516192"/>
    <w:rPr>
      <w:rFonts w:ascii="Times New Roman" w:eastAsia="標楷體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9A3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37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3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374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A3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37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331</Words>
  <Characters>1890</Characters>
  <Application>Microsoft Office Word</Application>
  <DocSecurity>0</DocSecurity>
  <Lines>15</Lines>
  <Paragraphs>4</Paragraphs>
  <ScaleCrop>false</ScaleCrop>
  <Company>Sky123.Org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2019-05-04T08:43:00Z</dcterms:created>
  <dcterms:modified xsi:type="dcterms:W3CDTF">2021-08-04T07:32:00Z</dcterms:modified>
</cp:coreProperties>
</file>